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  <w:r w:rsidRPr="000E70F5"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2C1AB9E8" wp14:editId="185AC436">
            <wp:extent cx="4816475" cy="792480"/>
            <wp:effectExtent l="0" t="0" r="0" b="0"/>
            <wp:docPr id="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C13DFB" w:rsidRPr="0060211E" w:rsidRDefault="00C13DFB" w:rsidP="00C13DFB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jc w:val="center"/>
        <w:rPr>
          <w:rFonts w:ascii="Trebuchet MS" w:hAnsi="Trebuchet MS"/>
          <w:b/>
          <w:sz w:val="28"/>
          <w:szCs w:val="28"/>
        </w:rPr>
      </w:pPr>
      <w:r w:rsidRPr="0060211E">
        <w:rPr>
          <w:rFonts w:ascii="Trebuchet MS" w:hAnsi="Trebuchet MS"/>
          <w:b/>
          <w:sz w:val="28"/>
          <w:szCs w:val="28"/>
        </w:rPr>
        <w:t xml:space="preserve">Dottorato di ricerca in </w:t>
      </w:r>
      <w:r>
        <w:rPr>
          <w:rFonts w:ascii="Trebuchet MS" w:hAnsi="Trebuchet MS"/>
          <w:b/>
          <w:sz w:val="28"/>
          <w:szCs w:val="28"/>
        </w:rPr>
        <w:t>SCIENZE PER LA SANITA’ PUBBLICA</w:t>
      </w:r>
    </w:p>
    <w:p w:rsidR="00C13DFB" w:rsidRDefault="00C13DFB" w:rsidP="00C13DFB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Posti: </w:t>
      </w:r>
      <w:r>
        <w:rPr>
          <w:rFonts w:ascii="Trebuchet MS" w:hAnsi="Trebuchet MS"/>
          <w:b/>
          <w:sz w:val="28"/>
          <w:szCs w:val="28"/>
        </w:rPr>
        <w:t>2</w:t>
      </w:r>
    </w:p>
    <w:p w:rsidR="00C13DFB" w:rsidRPr="0060211E" w:rsidRDefault="00C13DFB" w:rsidP="00C13DFB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jc w:val="center"/>
        <w:rPr>
          <w:rFonts w:ascii="Trebuchet MS" w:hAnsi="Trebuchet MS"/>
          <w:b/>
          <w:sz w:val="28"/>
          <w:szCs w:val="28"/>
        </w:rPr>
      </w:pPr>
      <w:r w:rsidRPr="0060211E">
        <w:rPr>
          <w:rFonts w:ascii="Trebuchet MS" w:hAnsi="Trebuchet MS"/>
          <w:b/>
          <w:sz w:val="28"/>
          <w:szCs w:val="28"/>
        </w:rPr>
        <w:t>Assegnazione Linee di ricerca (Borse PON)</w:t>
      </w:r>
    </w:p>
    <w:p w:rsidR="00C13DFB" w:rsidRPr="000E70F5" w:rsidRDefault="00C13DFB" w:rsidP="00C13DFB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C13DFB" w:rsidRDefault="00C13DFB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C13DFB" w:rsidRDefault="00C13DFB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C13DFB" w:rsidRPr="000E70F5" w:rsidRDefault="00C13DFB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  <w:r w:rsidRPr="000E70F5">
        <w:rPr>
          <w:rFonts w:ascii="Trebuchet MS" w:hAnsi="Trebuchet MS"/>
        </w:rPr>
        <w:t xml:space="preserve">A ciascun candidato ammesso la Commissione attribuisce la linea di ricerca da svolgere durante il percorso dottorale, così come indicato all’Art. 6 del Bando di ammissione: </w:t>
      </w: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b/>
          <w:sz w:val="18"/>
          <w:szCs w:val="18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86"/>
        <w:gridCol w:w="1984"/>
        <w:gridCol w:w="3656"/>
        <w:gridCol w:w="1447"/>
      </w:tblGrid>
      <w:tr w:rsidR="000E70F5" w:rsidRPr="000E70F5" w:rsidTr="000E70F5">
        <w:trPr>
          <w:trHeight w:val="1431"/>
        </w:trPr>
        <w:tc>
          <w:tcPr>
            <w:tcW w:w="449" w:type="dxa"/>
          </w:tcPr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1°</w:t>
            </w:r>
          </w:p>
        </w:tc>
        <w:tc>
          <w:tcPr>
            <w:tcW w:w="1986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CARANDINA</w:t>
            </w:r>
          </w:p>
        </w:tc>
        <w:tc>
          <w:tcPr>
            <w:tcW w:w="1984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ANGELICA</w:t>
            </w:r>
          </w:p>
        </w:tc>
        <w:tc>
          <w:tcPr>
            <w:tcW w:w="3656" w:type="dxa"/>
          </w:tcPr>
          <w:p w:rsidR="000E70F5" w:rsidRDefault="000E70F5" w:rsidP="000E70F5">
            <w:pPr>
              <w:pStyle w:val="TableParagraph"/>
              <w:tabs>
                <w:tab w:val="left" w:pos="682"/>
                <w:tab w:val="left" w:pos="1108"/>
                <w:tab w:val="left" w:pos="1164"/>
                <w:tab w:val="left" w:pos="1584"/>
              </w:tabs>
              <w:ind w:left="108" w:right="98"/>
              <w:rPr>
                <w:rFonts w:ascii="Trebuchet MS" w:hAnsi="Trebuchet MS"/>
                <w:sz w:val="18"/>
                <w:szCs w:val="18"/>
              </w:rPr>
            </w:pPr>
          </w:p>
          <w:p w:rsidR="000E70F5" w:rsidRDefault="000E70F5" w:rsidP="000E70F5">
            <w:pPr>
              <w:pStyle w:val="TableParagraph"/>
              <w:tabs>
                <w:tab w:val="left" w:pos="682"/>
                <w:tab w:val="left" w:pos="1108"/>
                <w:tab w:val="left" w:pos="1164"/>
                <w:tab w:val="left" w:pos="1584"/>
              </w:tabs>
              <w:ind w:left="108" w:right="98"/>
              <w:rPr>
                <w:rFonts w:ascii="Trebuchet MS" w:hAnsi="Trebuchet MS"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tabs>
                <w:tab w:val="left" w:pos="682"/>
                <w:tab w:val="left" w:pos="1108"/>
                <w:tab w:val="left" w:pos="1164"/>
                <w:tab w:val="left" w:pos="1584"/>
              </w:tabs>
              <w:ind w:left="108" w:right="98"/>
              <w:rPr>
                <w:rFonts w:ascii="Trebuchet MS" w:hAnsi="Trebuchet MS"/>
                <w:sz w:val="18"/>
                <w:szCs w:val="18"/>
              </w:rPr>
            </w:pPr>
            <w:r w:rsidRPr="000E70F5">
              <w:rPr>
                <w:rFonts w:ascii="Trebuchet MS" w:hAnsi="Trebuchet MS"/>
                <w:sz w:val="18"/>
                <w:szCs w:val="18"/>
              </w:rPr>
              <w:t>La</w:t>
            </w:r>
            <w:r w:rsidRPr="000E70F5">
              <w:rPr>
                <w:rFonts w:ascii="Trebuchet MS" w:hAnsi="Trebuchet MS"/>
                <w:spacing w:val="22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stimolazione</w:t>
            </w:r>
            <w:r w:rsidRPr="000E70F5">
              <w:rPr>
                <w:rFonts w:ascii="Trebuchet MS" w:hAnsi="Trebuchet MS"/>
                <w:spacing w:val="23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vagale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non-invasiva </w:t>
            </w:r>
            <w:r w:rsidRPr="000E70F5">
              <w:rPr>
                <w:rFonts w:ascii="Trebuchet MS" w:hAnsi="Trebuchet MS"/>
                <w:spacing w:val="-2"/>
                <w:sz w:val="18"/>
                <w:szCs w:val="18"/>
              </w:rPr>
              <w:t>come</w:t>
            </w:r>
            <w:r w:rsidRPr="000E70F5"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approccio </w:t>
            </w:r>
            <w:r w:rsidRPr="000E70F5">
              <w:rPr>
                <w:rFonts w:ascii="Trebuchet MS" w:hAnsi="Trebuchet MS"/>
                <w:spacing w:val="-1"/>
                <w:sz w:val="18"/>
                <w:szCs w:val="18"/>
              </w:rPr>
              <w:t>innovativo</w:t>
            </w:r>
            <w:r w:rsidRPr="000E70F5"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per</w:t>
            </w:r>
            <w:r>
              <w:rPr>
                <w:rFonts w:ascii="Trebuchet MS" w:hAnsi="Trebuchet MS"/>
                <w:sz w:val="18"/>
                <w:szCs w:val="18"/>
              </w:rPr>
              <w:tab/>
              <w:t xml:space="preserve">il </w:t>
            </w:r>
            <w:r w:rsidRPr="000E70F5">
              <w:rPr>
                <w:rFonts w:ascii="Trebuchet MS" w:hAnsi="Trebuchet MS"/>
                <w:spacing w:val="-1"/>
                <w:sz w:val="18"/>
                <w:szCs w:val="18"/>
              </w:rPr>
              <w:t>trattamento</w:t>
            </w:r>
            <w:r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dell’infiammazione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cronica</w:t>
            </w:r>
            <w:r w:rsidRPr="000E70F5">
              <w:rPr>
                <w:rFonts w:ascii="Trebuchet MS" w:hAnsi="Trebuchet MS"/>
                <w:spacing w:val="34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nelle</w:t>
            </w:r>
            <w:r w:rsidRPr="000E70F5">
              <w:rPr>
                <w:rFonts w:ascii="Trebuchet MS" w:hAnsi="Trebuchet MS"/>
                <w:spacing w:val="37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malattie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non-trasmissibili.</w:t>
            </w:r>
          </w:p>
        </w:tc>
        <w:tc>
          <w:tcPr>
            <w:tcW w:w="1447" w:type="dxa"/>
          </w:tcPr>
          <w:p w:rsidR="000E70F5" w:rsidRPr="000E70F5" w:rsidRDefault="000E70F5" w:rsidP="007604B9">
            <w:pPr>
              <w:pStyle w:val="TableParagraph"/>
              <w:spacing w:before="8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ind w:left="334" w:right="289" w:hanging="15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ind w:left="334" w:right="289" w:hanging="15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Medigas</w:t>
            </w:r>
            <w:r w:rsidRPr="000E70F5">
              <w:rPr>
                <w:rFonts w:ascii="Trebuchet MS" w:hAnsi="Trebuchet MS"/>
                <w:b/>
                <w:spacing w:val="-48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b/>
                <w:sz w:val="18"/>
                <w:szCs w:val="18"/>
              </w:rPr>
              <w:t>Italia</w:t>
            </w:r>
            <w:r w:rsidRPr="000E70F5">
              <w:rPr>
                <w:rFonts w:ascii="Trebuchet MS" w:hAnsi="Trebuchet MS"/>
                <w:b/>
                <w:spacing w:val="-3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b/>
                <w:sz w:val="18"/>
                <w:szCs w:val="18"/>
              </w:rPr>
              <w:t>srl</w:t>
            </w:r>
          </w:p>
        </w:tc>
      </w:tr>
      <w:tr w:rsidR="000E70F5" w:rsidRPr="000E70F5" w:rsidTr="000E70F5">
        <w:trPr>
          <w:trHeight w:val="2401"/>
        </w:trPr>
        <w:tc>
          <w:tcPr>
            <w:tcW w:w="449" w:type="dxa"/>
          </w:tcPr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208" w:lineRule="exact"/>
              <w:ind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 xml:space="preserve">  2°</w:t>
            </w:r>
          </w:p>
        </w:tc>
        <w:tc>
          <w:tcPr>
            <w:tcW w:w="1986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DELLA VENTURA</w:t>
            </w:r>
          </w:p>
        </w:tc>
        <w:tc>
          <w:tcPr>
            <w:tcW w:w="1984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CARLA</w:t>
            </w:r>
          </w:p>
        </w:tc>
        <w:tc>
          <w:tcPr>
            <w:tcW w:w="3656" w:type="dxa"/>
          </w:tcPr>
          <w:p w:rsidR="000E70F5" w:rsidRPr="000E70F5" w:rsidRDefault="000E70F5" w:rsidP="000E70F5">
            <w:pPr>
              <w:pStyle w:val="TableParagraph"/>
              <w:spacing w:before="8"/>
              <w:rPr>
                <w:rFonts w:ascii="Trebuchet MS" w:hAnsi="Trebuchet MS"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ind w:left="110" w:right="97" w:hanging="1"/>
              <w:rPr>
                <w:rFonts w:ascii="Trebuchet MS" w:hAnsi="Trebuchet MS"/>
                <w:sz w:val="18"/>
                <w:szCs w:val="18"/>
              </w:rPr>
            </w:pPr>
            <w:r w:rsidRPr="000E70F5">
              <w:rPr>
                <w:rFonts w:ascii="Trebuchet MS" w:hAnsi="Trebuchet MS"/>
                <w:sz w:val="18"/>
                <w:szCs w:val="18"/>
              </w:rPr>
              <w:t>Sviluppo di metodiche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biotecnologiche per il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rilevamento e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la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caratterizzazione rapida</w:t>
            </w:r>
            <w:r w:rsidRPr="000E70F5"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di varianti microbiche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(virali e batteriche) di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importanza clinico-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epidemiologica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(mutanti resistenti ai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farmaci o in grado di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sfuggire alle difese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immuni</w:t>
            </w:r>
            <w:r w:rsidRPr="000E70F5">
              <w:rPr>
                <w:rFonts w:ascii="Trebuchet MS" w:hAnsi="Trebuchet MS"/>
                <w:spacing w:val="2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naturali</w:t>
            </w:r>
            <w:r w:rsidRPr="000E70F5">
              <w:rPr>
                <w:rFonts w:ascii="Trebuchet MS" w:hAnsi="Trebuchet MS"/>
                <w:spacing w:val="-2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o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indotte da vaccini)</w:t>
            </w:r>
            <w:r w:rsidRPr="000E70F5">
              <w:rPr>
                <w:rFonts w:ascii="Trebuchet MS" w:hAnsi="Trebuchet MS"/>
                <w:spacing w:val="1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mediante approcci</w:t>
            </w:r>
          </w:p>
          <w:p w:rsidR="000E70F5" w:rsidRPr="000E70F5" w:rsidRDefault="000E70F5" w:rsidP="000E70F5">
            <w:pPr>
              <w:pStyle w:val="TableParagraph"/>
              <w:spacing w:line="230" w:lineRule="exact"/>
              <w:ind w:left="144" w:right="133"/>
              <w:rPr>
                <w:rFonts w:ascii="Trebuchet MS" w:hAnsi="Trebuchet MS"/>
                <w:sz w:val="18"/>
                <w:szCs w:val="18"/>
              </w:rPr>
            </w:pPr>
            <w:r w:rsidRPr="000E70F5">
              <w:rPr>
                <w:rFonts w:ascii="Trebuchet MS" w:hAnsi="Trebuchet MS"/>
                <w:sz w:val="18"/>
                <w:szCs w:val="18"/>
              </w:rPr>
              <w:t>genomici,</w:t>
            </w:r>
            <w:r w:rsidRPr="000E70F5">
              <w:rPr>
                <w:rFonts w:ascii="Trebuchet MS" w:hAnsi="Trebuchet MS"/>
                <w:spacing w:val="-7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molecolari</w:t>
            </w:r>
            <w:r w:rsidRPr="000E70F5">
              <w:rPr>
                <w:rFonts w:ascii="Trebuchet MS" w:hAnsi="Trebuchet MS"/>
                <w:spacing w:val="-9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e</w:t>
            </w:r>
            <w:r w:rsidRPr="000E70F5">
              <w:rPr>
                <w:rFonts w:ascii="Trebuchet MS" w:hAnsi="Trebuchet MS"/>
                <w:spacing w:val="-47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sz w:val="18"/>
                <w:szCs w:val="18"/>
              </w:rPr>
              <w:t>immunologici</w:t>
            </w:r>
          </w:p>
        </w:tc>
        <w:tc>
          <w:tcPr>
            <w:tcW w:w="1447" w:type="dxa"/>
          </w:tcPr>
          <w:p w:rsidR="000E70F5" w:rsidRPr="000E70F5" w:rsidRDefault="000E70F5" w:rsidP="007604B9">
            <w:pPr>
              <w:pStyle w:val="TableParagraph"/>
              <w:spacing w:before="8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ind w:left="564" w:right="78" w:hanging="456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ind w:left="564" w:right="78" w:hanging="456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ind w:left="564" w:right="78" w:hanging="456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Immunospark</w:t>
            </w:r>
            <w:r w:rsidRPr="000E70F5">
              <w:rPr>
                <w:rFonts w:ascii="Trebuchet MS" w:hAnsi="Trebuchet MS"/>
                <w:b/>
                <w:spacing w:val="-47"/>
                <w:sz w:val="18"/>
                <w:szCs w:val="18"/>
              </w:rPr>
              <w:t xml:space="preserve"> </w:t>
            </w:r>
            <w:r w:rsidRPr="000E70F5">
              <w:rPr>
                <w:rFonts w:ascii="Trebuchet MS" w:hAnsi="Trebuchet MS"/>
                <w:b/>
                <w:sz w:val="18"/>
                <w:szCs w:val="18"/>
              </w:rPr>
              <w:t>srl</w:t>
            </w:r>
          </w:p>
        </w:tc>
      </w:tr>
    </w:tbl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  <w:r w:rsidRPr="000E70F5">
        <w:rPr>
          <w:rFonts w:ascii="Trebuchet MS" w:hAnsi="Trebuchet MS"/>
          <w:sz w:val="18"/>
          <w:szCs w:val="18"/>
        </w:rPr>
        <w:t xml:space="preserve">La graduatoria di merito è pubblicata alla pagina </w:t>
      </w:r>
      <w:hyperlink r:id="rId5">
        <w:r w:rsidRPr="000E70F5">
          <w:rPr>
            <w:rStyle w:val="CollegamentoInternet"/>
            <w:rFonts w:ascii="Trebuchet MS" w:hAnsi="Trebuchet MS"/>
            <w:sz w:val="18"/>
            <w:szCs w:val="18"/>
          </w:rPr>
          <w:t>Ammissioni e graduatorie post-laurea</w:t>
        </w:r>
      </w:hyperlink>
      <w:r w:rsidRPr="000E70F5">
        <w:rPr>
          <w:rFonts w:ascii="Trebuchet MS" w:hAnsi="Trebuchet MS"/>
          <w:sz w:val="18"/>
          <w:szCs w:val="18"/>
        </w:rPr>
        <w:t xml:space="preserve"> </w:t>
      </w: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DE04D8" w:rsidRPr="000E70F5" w:rsidRDefault="00DE04D8">
      <w:pPr>
        <w:rPr>
          <w:rFonts w:ascii="Trebuchet MS" w:hAnsi="Trebuchet MS"/>
          <w:sz w:val="18"/>
          <w:szCs w:val="18"/>
        </w:rPr>
      </w:pPr>
    </w:p>
    <w:sectPr w:rsidR="00DE04D8" w:rsidRPr="000E7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F5"/>
    <w:rsid w:val="000E70F5"/>
    <w:rsid w:val="00C13DFB"/>
    <w:rsid w:val="00D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6780"/>
  <w15:chartTrackingRefBased/>
  <w15:docId w15:val="{1AC31E8D-75C3-4C3A-BB7F-0F05E9A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E70F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70F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ente.unimi.it/ammissioni/g/graduatoridottorati/checkLogin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TEGOLA ANNA</dc:creator>
  <cp:keywords/>
  <dc:description/>
  <cp:lastModifiedBy>LA TEGOLA ANNA</cp:lastModifiedBy>
  <cp:revision>2</cp:revision>
  <dcterms:created xsi:type="dcterms:W3CDTF">2021-11-15T10:48:00Z</dcterms:created>
  <dcterms:modified xsi:type="dcterms:W3CDTF">2021-11-15T14:33:00Z</dcterms:modified>
</cp:coreProperties>
</file>